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4B02" w14:textId="77777777" w:rsidR="00F03B28" w:rsidRDefault="00F03B28" w:rsidP="00945F14">
      <w:p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b/>
          <w:bCs/>
          <w:noProof/>
          <w:color w:val="000000"/>
          <w:lang w:eastAsia="en-GB"/>
        </w:rPr>
        <w:drawing>
          <wp:inline distT="0" distB="0" distL="0" distR="0" wp14:anchorId="29818BBE" wp14:editId="7A28C7B5">
            <wp:extent cx="5731625" cy="1625138"/>
            <wp:effectExtent l="0" t="0" r="2540" b="0"/>
            <wp:docPr id="1465804110" name="Picture 2" descr="A blue and white sign with a wrench and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04110" name="Picture 2" descr="A blue and white sign with a wrench and penc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625" cy="16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AE42" w14:textId="7159D433" w:rsidR="001C3C7B" w:rsidRPr="006E06B6" w:rsidRDefault="001C3C7B" w:rsidP="006E06B6">
      <w:pPr>
        <w:pStyle w:val="Heading1"/>
        <w:spacing w:before="240"/>
        <w:rPr>
          <w:sz w:val="36"/>
          <w:szCs w:val="36"/>
        </w:rPr>
      </w:pPr>
      <w:r w:rsidRPr="006E06B6">
        <w:rPr>
          <w:sz w:val="36"/>
          <w:szCs w:val="36"/>
        </w:rPr>
        <w:t>Unit and Diploma Assessment Plans</w:t>
      </w:r>
      <w:r w:rsidR="009E69F6" w:rsidRPr="006E06B6">
        <w:rPr>
          <w:sz w:val="36"/>
          <w:szCs w:val="36"/>
        </w:rPr>
        <w:t>:</w:t>
      </w:r>
      <w:r w:rsidR="00F54FBF" w:rsidRPr="006E06B6">
        <w:rPr>
          <w:sz w:val="36"/>
          <w:szCs w:val="36"/>
        </w:rPr>
        <w:t xml:space="preserve"> </w:t>
      </w:r>
      <w:r w:rsidR="009E69F6" w:rsidRPr="006E06B6">
        <w:rPr>
          <w:sz w:val="36"/>
          <w:szCs w:val="36"/>
        </w:rPr>
        <w:t xml:space="preserve">A Brief Guide </w:t>
      </w:r>
    </w:p>
    <w:p w14:paraId="1B04C98D" w14:textId="3B36506C" w:rsidR="00D94432" w:rsidRPr="003D4D62" w:rsidRDefault="006E06B6">
      <w:pPr>
        <w:rPr>
          <w:rFonts w:eastAsia="Times New Roman" w:cs="Arial"/>
          <w:color w:val="000000"/>
          <w:lang w:eastAsia="en-GB"/>
        </w:rPr>
      </w:pPr>
      <w:r>
        <w:rPr>
          <w:rFonts w:eastAsia="Times New Roman"/>
          <w:lang w:eastAsia="en-GB"/>
        </w:rPr>
        <w:t>(</w:t>
      </w:r>
      <w:r w:rsidR="009E69F6" w:rsidRPr="003D4D62">
        <w:rPr>
          <w:rFonts w:eastAsia="Times New Roman" w:cs="Arial"/>
          <w:color w:val="000000"/>
          <w:lang w:eastAsia="en-GB"/>
        </w:rPr>
        <w:t>Applicable for students registering from 1 August 2024 onwards</w:t>
      </w:r>
      <w:r>
        <w:rPr>
          <w:rFonts w:eastAsia="Times New Roman" w:cs="Arial"/>
          <w:color w:val="000000"/>
          <w:lang w:eastAsia="en-GB"/>
        </w:rPr>
        <w:t>)</w:t>
      </w:r>
    </w:p>
    <w:p w14:paraId="43A51F26" w14:textId="021CAA6F" w:rsidR="00F07903" w:rsidRPr="00B941BB" w:rsidRDefault="00542B15" w:rsidP="003D4D62">
      <w:pPr>
        <w:pStyle w:val="Heading2"/>
      </w:pPr>
      <w:r w:rsidRPr="00B941BB">
        <w:t>C</w:t>
      </w:r>
      <w:r w:rsidR="00372AC7" w:rsidRPr="00B941BB">
        <w:t>reating an assessment plan</w:t>
      </w:r>
    </w:p>
    <w:p w14:paraId="57077380" w14:textId="1FD336BA" w:rsidR="007962CB" w:rsidRDefault="001D4E52" w:rsidP="00E03D3B">
      <w:pPr>
        <w:spacing w:after="0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With the </w:t>
      </w:r>
      <w:r w:rsidR="00EE17A0">
        <w:rPr>
          <w:rFonts w:eastAsia="Times New Roman" w:cs="Arial"/>
          <w:color w:val="000000"/>
          <w:lang w:eastAsia="en-GB"/>
        </w:rPr>
        <w:t xml:space="preserve">introduction of the revised </w:t>
      </w:r>
      <w:r w:rsidR="008245DF">
        <w:rPr>
          <w:rFonts w:eastAsia="Times New Roman" w:cs="Arial"/>
          <w:color w:val="000000"/>
          <w:lang w:eastAsia="en-GB"/>
        </w:rPr>
        <w:t>G</w:t>
      </w:r>
      <w:r>
        <w:rPr>
          <w:rFonts w:eastAsia="Times New Roman" w:cs="Arial"/>
          <w:color w:val="000000"/>
          <w:lang w:eastAsia="en-GB"/>
        </w:rPr>
        <w:t xml:space="preserve">rading </w:t>
      </w:r>
      <w:r w:rsidR="008245DF">
        <w:rPr>
          <w:rFonts w:eastAsia="Times New Roman" w:cs="Arial"/>
          <w:color w:val="000000"/>
          <w:lang w:eastAsia="en-GB"/>
        </w:rPr>
        <w:t>S</w:t>
      </w:r>
      <w:r>
        <w:rPr>
          <w:rFonts w:eastAsia="Times New Roman" w:cs="Arial"/>
          <w:color w:val="000000"/>
          <w:lang w:eastAsia="en-GB"/>
        </w:rPr>
        <w:t xml:space="preserve">cheme </w:t>
      </w:r>
      <w:r w:rsidR="00AE4A73">
        <w:rPr>
          <w:rFonts w:eastAsia="Times New Roman" w:cs="Arial"/>
          <w:color w:val="000000"/>
          <w:lang w:eastAsia="en-GB"/>
        </w:rPr>
        <w:t xml:space="preserve">for new students registering </w:t>
      </w:r>
      <w:r w:rsidR="00E26768">
        <w:rPr>
          <w:rFonts w:eastAsia="Times New Roman" w:cs="Arial"/>
          <w:color w:val="000000"/>
          <w:lang w:eastAsia="en-GB"/>
        </w:rPr>
        <w:t xml:space="preserve">from </w:t>
      </w:r>
      <w:r w:rsidR="008245DF">
        <w:rPr>
          <w:rFonts w:eastAsia="Times New Roman" w:cs="Arial"/>
          <w:color w:val="000000"/>
          <w:lang w:eastAsia="en-GB"/>
        </w:rPr>
        <w:t xml:space="preserve">        </w:t>
      </w:r>
      <w:r w:rsidR="00E26768">
        <w:rPr>
          <w:rFonts w:eastAsia="Times New Roman" w:cs="Arial"/>
          <w:color w:val="000000"/>
          <w:lang w:eastAsia="en-GB"/>
        </w:rPr>
        <w:t>1 August 2024</w:t>
      </w:r>
      <w:r w:rsidR="008245DF">
        <w:rPr>
          <w:rFonts w:eastAsia="Times New Roman" w:cs="Arial"/>
          <w:color w:val="000000"/>
          <w:lang w:eastAsia="en-GB"/>
        </w:rPr>
        <w:t>,</w:t>
      </w:r>
      <w:r w:rsidR="00E26768">
        <w:rPr>
          <w:rFonts w:eastAsia="Times New Roman" w:cs="Arial"/>
          <w:color w:val="000000"/>
          <w:lang w:eastAsia="en-GB"/>
        </w:rPr>
        <w:t xml:space="preserve"> </w:t>
      </w:r>
      <w:r w:rsidR="00AE4A73">
        <w:rPr>
          <w:rFonts w:eastAsia="Times New Roman" w:cs="Arial"/>
          <w:color w:val="000000"/>
          <w:lang w:eastAsia="en-GB"/>
        </w:rPr>
        <w:t xml:space="preserve">the ways in which </w:t>
      </w:r>
      <w:r w:rsidR="00DE5EB7">
        <w:rPr>
          <w:rFonts w:eastAsia="Times New Roman" w:cs="Arial"/>
          <w:color w:val="000000"/>
          <w:lang w:eastAsia="en-GB"/>
        </w:rPr>
        <w:t>AVAs and providers/centres</w:t>
      </w:r>
      <w:r w:rsidR="00CD5731">
        <w:rPr>
          <w:rFonts w:eastAsia="Times New Roman" w:cs="Arial"/>
          <w:color w:val="000000"/>
          <w:lang w:eastAsia="en-GB"/>
        </w:rPr>
        <w:t xml:space="preserve"> monitor and record </w:t>
      </w:r>
      <w:r w:rsidR="0088290E">
        <w:rPr>
          <w:rFonts w:eastAsia="Times New Roman" w:cs="Arial"/>
          <w:color w:val="000000"/>
          <w:lang w:eastAsia="en-GB"/>
        </w:rPr>
        <w:t xml:space="preserve">the choice </w:t>
      </w:r>
      <w:r w:rsidR="003547AC">
        <w:rPr>
          <w:rFonts w:eastAsia="Times New Roman" w:cs="Arial"/>
          <w:color w:val="000000"/>
          <w:lang w:eastAsia="en-GB"/>
        </w:rPr>
        <w:t xml:space="preserve"> </w:t>
      </w:r>
      <w:r w:rsidR="0088290E">
        <w:rPr>
          <w:rFonts w:eastAsia="Times New Roman" w:cs="Arial"/>
          <w:color w:val="000000"/>
          <w:lang w:eastAsia="en-GB"/>
        </w:rPr>
        <w:t xml:space="preserve">of </w:t>
      </w:r>
      <w:r w:rsidR="003547AC">
        <w:rPr>
          <w:rFonts w:eastAsia="Times New Roman" w:cs="Arial"/>
          <w:color w:val="000000"/>
          <w:lang w:eastAsia="en-GB"/>
        </w:rPr>
        <w:t xml:space="preserve">the </w:t>
      </w:r>
      <w:r w:rsidR="0088290E" w:rsidRPr="003547AC">
        <w:rPr>
          <w:rFonts w:eastAsia="Times New Roman" w:cs="Arial"/>
          <w:i/>
          <w:iCs/>
          <w:color w:val="000000"/>
          <w:lang w:eastAsia="en-GB"/>
        </w:rPr>
        <w:t>sub-components</w:t>
      </w:r>
      <w:r w:rsidR="003547AC">
        <w:rPr>
          <w:rFonts w:eastAsia="Times New Roman" w:cs="Arial"/>
          <w:color w:val="000000"/>
          <w:lang w:eastAsia="en-GB"/>
        </w:rPr>
        <w:t xml:space="preserve"> of the three Grading Standards</w:t>
      </w:r>
      <w:r w:rsidR="0088290E">
        <w:rPr>
          <w:rFonts w:eastAsia="Times New Roman" w:cs="Arial"/>
          <w:color w:val="000000"/>
          <w:lang w:eastAsia="en-GB"/>
        </w:rPr>
        <w:t xml:space="preserve"> and the </w:t>
      </w:r>
      <w:r w:rsidR="0088290E" w:rsidRPr="003547AC">
        <w:rPr>
          <w:rFonts w:eastAsia="Times New Roman" w:cs="Arial"/>
          <w:i/>
          <w:iCs/>
          <w:color w:val="000000"/>
          <w:lang w:eastAsia="en-GB"/>
        </w:rPr>
        <w:t>components</w:t>
      </w:r>
      <w:r w:rsidR="0088290E">
        <w:rPr>
          <w:rFonts w:eastAsia="Times New Roman" w:cs="Arial"/>
          <w:color w:val="000000"/>
          <w:lang w:eastAsia="en-GB"/>
        </w:rPr>
        <w:t xml:space="preserve"> of Grading Standard 3</w:t>
      </w:r>
      <w:r w:rsidR="00231D49">
        <w:rPr>
          <w:rFonts w:eastAsia="Times New Roman" w:cs="Arial"/>
          <w:color w:val="000000"/>
          <w:lang w:eastAsia="en-GB"/>
        </w:rPr>
        <w:t xml:space="preserve"> will change</w:t>
      </w:r>
      <w:r w:rsidR="008245DF">
        <w:rPr>
          <w:rFonts w:eastAsia="Times New Roman" w:cs="Arial"/>
          <w:color w:val="000000"/>
          <w:lang w:eastAsia="en-GB"/>
        </w:rPr>
        <w:t>,</w:t>
      </w:r>
      <w:r w:rsidR="007120B2">
        <w:rPr>
          <w:rFonts w:eastAsia="Times New Roman" w:cs="Arial"/>
          <w:color w:val="000000"/>
          <w:lang w:eastAsia="en-GB"/>
        </w:rPr>
        <w:t xml:space="preserve"> and we have been asked to share examples, whe</w:t>
      </w:r>
      <w:r w:rsidR="00377A02">
        <w:rPr>
          <w:rFonts w:eastAsia="Times New Roman" w:cs="Arial"/>
          <w:color w:val="000000"/>
          <w:lang w:eastAsia="en-GB"/>
        </w:rPr>
        <w:t>re</w:t>
      </w:r>
      <w:r w:rsidR="007120B2">
        <w:rPr>
          <w:rFonts w:eastAsia="Times New Roman" w:cs="Arial"/>
          <w:color w:val="000000"/>
          <w:lang w:eastAsia="en-GB"/>
        </w:rPr>
        <w:t xml:space="preserve"> available, of</w:t>
      </w:r>
      <w:r w:rsidR="007A032F">
        <w:rPr>
          <w:rFonts w:eastAsia="Times New Roman" w:cs="Arial"/>
          <w:color w:val="000000"/>
          <w:lang w:eastAsia="en-GB"/>
        </w:rPr>
        <w:t xml:space="preserve"> templates aimed at managing </w:t>
      </w:r>
      <w:r w:rsidR="001715E2">
        <w:rPr>
          <w:rFonts w:eastAsia="Times New Roman" w:cs="Arial"/>
          <w:color w:val="000000"/>
          <w:lang w:eastAsia="en-GB"/>
        </w:rPr>
        <w:t xml:space="preserve">unit and </w:t>
      </w:r>
      <w:r w:rsidR="00A32CB4">
        <w:rPr>
          <w:rFonts w:eastAsia="Times New Roman" w:cs="Arial"/>
          <w:color w:val="000000"/>
          <w:lang w:eastAsia="en-GB"/>
        </w:rPr>
        <w:t>D</w:t>
      </w:r>
      <w:r w:rsidR="001715E2">
        <w:rPr>
          <w:rFonts w:eastAsia="Times New Roman" w:cs="Arial"/>
          <w:color w:val="000000"/>
          <w:lang w:eastAsia="en-GB"/>
        </w:rPr>
        <w:t xml:space="preserve">iploma </w:t>
      </w:r>
      <w:r w:rsidR="00856981">
        <w:rPr>
          <w:rFonts w:eastAsia="Times New Roman" w:cs="Arial"/>
          <w:color w:val="000000"/>
          <w:lang w:eastAsia="en-GB"/>
        </w:rPr>
        <w:t>assessment plans.</w:t>
      </w:r>
      <w:r w:rsidR="007962CB">
        <w:rPr>
          <w:rFonts w:eastAsia="Times New Roman" w:cs="Arial"/>
          <w:color w:val="000000"/>
          <w:lang w:eastAsia="en-GB"/>
        </w:rPr>
        <w:t xml:space="preserve"> </w:t>
      </w:r>
      <w:r w:rsidR="0040162E">
        <w:rPr>
          <w:rFonts w:eastAsia="Times New Roman" w:cs="Arial"/>
          <w:color w:val="000000"/>
          <w:lang w:eastAsia="en-GB"/>
        </w:rPr>
        <w:t>The Cambridge Access Validating Agency (</w:t>
      </w:r>
      <w:r w:rsidR="006F0E7F">
        <w:rPr>
          <w:rFonts w:eastAsia="Times New Roman" w:cs="Arial"/>
          <w:color w:val="000000"/>
          <w:lang w:eastAsia="en-GB"/>
        </w:rPr>
        <w:t>CAVA</w:t>
      </w:r>
      <w:r w:rsidR="0040162E">
        <w:rPr>
          <w:rFonts w:eastAsia="Times New Roman" w:cs="Arial"/>
          <w:color w:val="000000"/>
          <w:lang w:eastAsia="en-GB"/>
        </w:rPr>
        <w:t>)</w:t>
      </w:r>
      <w:r w:rsidR="006F0E7F">
        <w:rPr>
          <w:rFonts w:eastAsia="Times New Roman" w:cs="Arial"/>
          <w:color w:val="000000"/>
          <w:lang w:eastAsia="en-GB"/>
        </w:rPr>
        <w:t xml:space="preserve"> has kindly </w:t>
      </w:r>
      <w:r w:rsidR="00A271AC">
        <w:rPr>
          <w:rFonts w:eastAsia="Times New Roman" w:cs="Arial"/>
          <w:color w:val="000000"/>
          <w:lang w:eastAsia="en-GB"/>
        </w:rPr>
        <w:t xml:space="preserve">agreed to share their working template with </w:t>
      </w:r>
      <w:r w:rsidR="001715E2">
        <w:rPr>
          <w:rFonts w:eastAsia="Times New Roman" w:cs="Arial"/>
          <w:color w:val="000000"/>
          <w:lang w:eastAsia="en-GB"/>
        </w:rPr>
        <w:t xml:space="preserve">Diploma </w:t>
      </w:r>
      <w:r w:rsidR="00A271AC">
        <w:rPr>
          <w:rFonts w:eastAsia="Times New Roman" w:cs="Arial"/>
          <w:color w:val="000000"/>
          <w:lang w:eastAsia="en-GB"/>
        </w:rPr>
        <w:t>colleagues across the country</w:t>
      </w:r>
      <w:r w:rsidR="001715E2">
        <w:rPr>
          <w:rFonts w:eastAsia="Times New Roman" w:cs="Arial"/>
          <w:color w:val="000000"/>
          <w:lang w:eastAsia="en-GB"/>
        </w:rPr>
        <w:t xml:space="preserve">. </w:t>
      </w:r>
    </w:p>
    <w:p w14:paraId="5C5BE3DB" w14:textId="77777777" w:rsidR="007962CB" w:rsidRDefault="007962CB" w:rsidP="00E03D3B">
      <w:pPr>
        <w:spacing w:after="0"/>
        <w:rPr>
          <w:rFonts w:eastAsia="Times New Roman" w:cs="Arial"/>
          <w:color w:val="000000"/>
          <w:lang w:eastAsia="en-GB"/>
        </w:rPr>
      </w:pPr>
    </w:p>
    <w:p w14:paraId="379DB5C7" w14:textId="2AB78DED" w:rsidR="00856981" w:rsidRDefault="001715E2" w:rsidP="00E03D3B">
      <w:pPr>
        <w:spacing w:after="0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QAA recognises that this is just one such template that </w:t>
      </w:r>
      <w:r w:rsidR="00377A02">
        <w:rPr>
          <w:rFonts w:eastAsia="Times New Roman" w:cs="Arial"/>
          <w:color w:val="000000"/>
          <w:lang w:eastAsia="en-GB"/>
        </w:rPr>
        <w:t>is in development</w:t>
      </w:r>
      <w:r w:rsidR="00F935BE">
        <w:rPr>
          <w:rFonts w:eastAsia="Times New Roman" w:cs="Arial"/>
          <w:color w:val="000000"/>
          <w:lang w:eastAsia="en-GB"/>
        </w:rPr>
        <w:t xml:space="preserve"> </w:t>
      </w:r>
      <w:r w:rsidR="00A35174">
        <w:rPr>
          <w:rFonts w:eastAsia="Times New Roman" w:cs="Arial"/>
          <w:color w:val="000000"/>
          <w:lang w:eastAsia="en-GB"/>
        </w:rPr>
        <w:t xml:space="preserve">and there is no intent to introduce a standard template for AVAs and providers/centres. </w:t>
      </w:r>
      <w:r w:rsidR="00DA7826">
        <w:rPr>
          <w:rFonts w:eastAsia="Times New Roman" w:cs="Arial"/>
          <w:color w:val="000000"/>
          <w:lang w:eastAsia="en-GB"/>
        </w:rPr>
        <w:t>This is about sharing practice between AVAs and practitioners.</w:t>
      </w:r>
      <w:r w:rsidR="00C96051">
        <w:rPr>
          <w:rFonts w:eastAsia="Times New Roman" w:cs="Arial"/>
          <w:color w:val="000000"/>
          <w:lang w:eastAsia="en-GB"/>
        </w:rPr>
        <w:t xml:space="preserve"> QAA </w:t>
      </w:r>
      <w:r w:rsidR="00AA186A">
        <w:rPr>
          <w:rFonts w:eastAsia="Times New Roman" w:cs="Arial"/>
          <w:color w:val="000000"/>
          <w:lang w:eastAsia="en-GB"/>
        </w:rPr>
        <w:t xml:space="preserve">may </w:t>
      </w:r>
      <w:r w:rsidR="002A1F9B">
        <w:rPr>
          <w:rFonts w:eastAsia="Times New Roman" w:cs="Arial"/>
          <w:color w:val="000000"/>
          <w:lang w:eastAsia="en-GB"/>
        </w:rPr>
        <w:t xml:space="preserve">share any further </w:t>
      </w:r>
      <w:r w:rsidR="00215702">
        <w:rPr>
          <w:rFonts w:eastAsia="Times New Roman" w:cs="Arial"/>
          <w:color w:val="000000"/>
          <w:lang w:eastAsia="en-GB"/>
        </w:rPr>
        <w:t xml:space="preserve">exemplar templates </w:t>
      </w:r>
      <w:r w:rsidR="007B5E1C">
        <w:rPr>
          <w:rFonts w:eastAsia="Times New Roman" w:cs="Arial"/>
          <w:color w:val="000000"/>
          <w:lang w:eastAsia="en-GB"/>
        </w:rPr>
        <w:t>if</w:t>
      </w:r>
      <w:r w:rsidR="008245DF">
        <w:rPr>
          <w:rFonts w:eastAsia="Times New Roman" w:cs="Arial"/>
          <w:color w:val="000000"/>
          <w:lang w:eastAsia="en-GB"/>
        </w:rPr>
        <w:t>,</w:t>
      </w:r>
      <w:r w:rsidR="003A3527">
        <w:rPr>
          <w:rFonts w:eastAsia="Times New Roman" w:cs="Arial"/>
          <w:color w:val="000000"/>
          <w:lang w:eastAsia="en-GB"/>
        </w:rPr>
        <w:t xml:space="preserve"> and when</w:t>
      </w:r>
      <w:r w:rsidR="008245DF">
        <w:rPr>
          <w:rFonts w:eastAsia="Times New Roman" w:cs="Arial"/>
          <w:color w:val="000000"/>
          <w:lang w:eastAsia="en-GB"/>
        </w:rPr>
        <w:t>,</w:t>
      </w:r>
      <w:r w:rsidR="003A3527">
        <w:rPr>
          <w:rFonts w:eastAsia="Times New Roman" w:cs="Arial"/>
          <w:color w:val="000000"/>
          <w:lang w:eastAsia="en-GB"/>
        </w:rPr>
        <w:t xml:space="preserve"> they become available</w:t>
      </w:r>
      <w:r w:rsidR="00DD5F63">
        <w:rPr>
          <w:rFonts w:eastAsia="Times New Roman" w:cs="Arial"/>
          <w:color w:val="000000"/>
          <w:lang w:eastAsia="en-GB"/>
        </w:rPr>
        <w:t>.</w:t>
      </w:r>
    </w:p>
    <w:p w14:paraId="41AFF2BE" w14:textId="77777777" w:rsidR="003A6634" w:rsidRDefault="003A6634" w:rsidP="00E03D3B">
      <w:pPr>
        <w:spacing w:after="0"/>
        <w:rPr>
          <w:rFonts w:eastAsia="Times New Roman" w:cs="Arial"/>
          <w:color w:val="000000"/>
          <w:lang w:eastAsia="en-GB"/>
        </w:rPr>
      </w:pPr>
    </w:p>
    <w:p w14:paraId="350F264E" w14:textId="77777777" w:rsidR="008D604C" w:rsidRDefault="008D604C" w:rsidP="00E03D3B">
      <w:pPr>
        <w:spacing w:after="0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The template that follows works in the following ways:</w:t>
      </w:r>
    </w:p>
    <w:p w14:paraId="2BE6AB72" w14:textId="77777777" w:rsidR="007073AF" w:rsidRDefault="007073AF" w:rsidP="00E03D3B">
      <w:pPr>
        <w:spacing w:after="0"/>
        <w:rPr>
          <w:rFonts w:eastAsia="Times New Roman" w:cs="Arial"/>
          <w:color w:val="000000"/>
          <w:lang w:eastAsia="en-GB"/>
        </w:rPr>
      </w:pPr>
    </w:p>
    <w:p w14:paraId="4D0EA3AD" w14:textId="10A897EE" w:rsidR="00751B59" w:rsidRDefault="007073AF" w:rsidP="003D4D62">
      <w:pPr>
        <w:pStyle w:val="Heading3"/>
        <w:rPr>
          <w:rFonts w:eastAsia="Times New Roman"/>
          <w:lang w:eastAsia="en-GB"/>
        </w:rPr>
      </w:pPr>
      <w:r w:rsidRPr="00BE5BAE">
        <w:rPr>
          <w:rFonts w:eastAsia="Times New Roman"/>
          <w:lang w:eastAsia="en-GB"/>
        </w:rPr>
        <w:t>At the unit level</w:t>
      </w:r>
      <w:r>
        <w:rPr>
          <w:rFonts w:eastAsia="Times New Roman"/>
          <w:lang w:eastAsia="en-GB"/>
        </w:rPr>
        <w:t xml:space="preserve"> </w:t>
      </w:r>
    </w:p>
    <w:p w14:paraId="082D82B2" w14:textId="70AAEC05" w:rsidR="00751B59" w:rsidRPr="00B941BB" w:rsidRDefault="00751B59" w:rsidP="00B941B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B941BB">
        <w:rPr>
          <w:rFonts w:cs="Arial"/>
        </w:rPr>
        <w:t>C</w:t>
      </w:r>
      <w:r w:rsidR="007073AF" w:rsidRPr="00B941BB">
        <w:rPr>
          <w:rFonts w:cs="Arial"/>
        </w:rPr>
        <w:t xml:space="preserve">olumn </w:t>
      </w:r>
      <w:r w:rsidR="002A0AF1" w:rsidRPr="00B941BB">
        <w:rPr>
          <w:rFonts w:cs="Arial"/>
        </w:rPr>
        <w:t xml:space="preserve">one identifies the learning outcomes for </w:t>
      </w:r>
      <w:r w:rsidRPr="00B941BB">
        <w:rPr>
          <w:rFonts w:cs="Arial"/>
        </w:rPr>
        <w:t>the</w:t>
      </w:r>
      <w:r w:rsidR="002A0AF1" w:rsidRPr="00B941BB">
        <w:rPr>
          <w:rFonts w:cs="Arial"/>
        </w:rPr>
        <w:t xml:space="preserve"> unit</w:t>
      </w:r>
    </w:p>
    <w:p w14:paraId="35048B6E" w14:textId="1562F6F3" w:rsidR="00751B59" w:rsidRPr="00B941BB" w:rsidRDefault="00751B59" w:rsidP="00B941B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B941BB">
        <w:rPr>
          <w:rFonts w:cs="Arial"/>
        </w:rPr>
        <w:t>Column two identifies the credit value of the unit</w:t>
      </w:r>
    </w:p>
    <w:p w14:paraId="5E4D2F59" w14:textId="2D69F39C" w:rsidR="00751B59" w:rsidRPr="00B941BB" w:rsidRDefault="00751B59" w:rsidP="00B941B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B941BB">
        <w:rPr>
          <w:rFonts w:cs="Arial"/>
        </w:rPr>
        <w:t>C</w:t>
      </w:r>
      <w:r w:rsidR="002A0AF1" w:rsidRPr="00B941BB">
        <w:rPr>
          <w:rFonts w:cs="Arial"/>
        </w:rPr>
        <w:t xml:space="preserve">olumn </w:t>
      </w:r>
      <w:r w:rsidR="002937C4" w:rsidRPr="00B941BB">
        <w:rPr>
          <w:rFonts w:cs="Arial"/>
        </w:rPr>
        <w:t xml:space="preserve">three </w:t>
      </w:r>
      <w:r w:rsidR="00DE7B2A" w:rsidRPr="00B941BB">
        <w:rPr>
          <w:rFonts w:cs="Arial"/>
        </w:rPr>
        <w:t xml:space="preserve">identifies the </w:t>
      </w:r>
      <w:r w:rsidR="00C850B8" w:rsidRPr="00B941BB">
        <w:rPr>
          <w:rFonts w:cs="Arial"/>
        </w:rPr>
        <w:t xml:space="preserve">sub-components of the </w:t>
      </w:r>
      <w:r w:rsidR="002A0AF1" w:rsidRPr="00B941BB">
        <w:rPr>
          <w:rFonts w:cs="Arial"/>
        </w:rPr>
        <w:t>Grading Standards</w:t>
      </w:r>
      <w:r w:rsidR="00DE7B2A" w:rsidRPr="00B941BB">
        <w:rPr>
          <w:rFonts w:cs="Arial"/>
        </w:rPr>
        <w:t xml:space="preserve"> selected for </w:t>
      </w:r>
      <w:r w:rsidR="008D604C" w:rsidRPr="00B941BB">
        <w:rPr>
          <w:rFonts w:cs="Arial"/>
        </w:rPr>
        <w:t>the unit</w:t>
      </w:r>
      <w:r w:rsidR="00C850B8" w:rsidRPr="00B941BB">
        <w:rPr>
          <w:rFonts w:cs="Arial"/>
        </w:rPr>
        <w:t xml:space="preserve"> (and for G</w:t>
      </w:r>
      <w:r w:rsidR="0060548B" w:rsidRPr="00B941BB">
        <w:rPr>
          <w:rFonts w:cs="Arial"/>
        </w:rPr>
        <w:t xml:space="preserve">rading Standard </w:t>
      </w:r>
      <w:r w:rsidR="00C850B8" w:rsidRPr="00B941BB">
        <w:rPr>
          <w:rFonts w:cs="Arial"/>
        </w:rPr>
        <w:t>3</w:t>
      </w:r>
      <w:r w:rsidR="008245DF">
        <w:rPr>
          <w:rFonts w:cs="Arial"/>
        </w:rPr>
        <w:t>,</w:t>
      </w:r>
      <w:r w:rsidR="00DD2BAE" w:rsidRPr="00B941BB">
        <w:rPr>
          <w:rFonts w:cs="Arial"/>
        </w:rPr>
        <w:t xml:space="preserve"> the </w:t>
      </w:r>
      <w:r w:rsidR="0060548B" w:rsidRPr="00B941BB">
        <w:rPr>
          <w:rFonts w:cs="Arial"/>
        </w:rPr>
        <w:t xml:space="preserve">two out of the three </w:t>
      </w:r>
      <w:r w:rsidR="00DD2BAE" w:rsidRPr="00B941BB">
        <w:rPr>
          <w:rFonts w:cs="Arial"/>
        </w:rPr>
        <w:t xml:space="preserve">components </w:t>
      </w:r>
      <w:r w:rsidR="008245DF">
        <w:rPr>
          <w:rFonts w:cs="Arial"/>
        </w:rPr>
        <w:t xml:space="preserve">- </w:t>
      </w:r>
      <w:r w:rsidR="00DD2BAE" w:rsidRPr="00B941BB">
        <w:rPr>
          <w:rFonts w:cs="Arial"/>
        </w:rPr>
        <w:t>a, b or</w:t>
      </w:r>
      <w:r w:rsidR="008245DF">
        <w:rPr>
          <w:rFonts w:cs="Arial"/>
        </w:rPr>
        <w:t>/</w:t>
      </w:r>
      <w:r w:rsidR="00DD2BAE" w:rsidRPr="00B941BB">
        <w:rPr>
          <w:rFonts w:cs="Arial"/>
        </w:rPr>
        <w:t xml:space="preserve">and c </w:t>
      </w:r>
      <w:r w:rsidR="008245DF">
        <w:rPr>
          <w:rFonts w:cs="Arial"/>
        </w:rPr>
        <w:t>-</w:t>
      </w:r>
      <w:r w:rsidR="00DD2BAE" w:rsidRPr="00B941BB">
        <w:rPr>
          <w:rFonts w:cs="Arial"/>
        </w:rPr>
        <w:t>selected</w:t>
      </w:r>
      <w:r w:rsidR="0060548B" w:rsidRPr="00B941BB">
        <w:rPr>
          <w:rFonts w:cs="Arial"/>
        </w:rPr>
        <w:t>)</w:t>
      </w:r>
    </w:p>
    <w:p w14:paraId="2367EDBC" w14:textId="426F66B6" w:rsidR="003A6634" w:rsidRPr="00B941BB" w:rsidRDefault="00751B59" w:rsidP="00B941B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B941BB">
        <w:rPr>
          <w:rFonts w:cs="Arial"/>
        </w:rPr>
        <w:t>C</w:t>
      </w:r>
      <w:r w:rsidR="002A0AF1" w:rsidRPr="00B941BB">
        <w:rPr>
          <w:rFonts w:cs="Arial"/>
        </w:rPr>
        <w:t xml:space="preserve">olumn four identifies the </w:t>
      </w:r>
      <w:r w:rsidR="00C50A6A" w:rsidRPr="00B941BB">
        <w:rPr>
          <w:rFonts w:cs="Arial"/>
        </w:rPr>
        <w:t xml:space="preserve">individual assignment tasks and </w:t>
      </w:r>
      <w:r w:rsidR="009D6897" w:rsidRPr="00B941BB">
        <w:rPr>
          <w:rFonts w:cs="Arial"/>
        </w:rPr>
        <w:t xml:space="preserve">which learning outcomes and which </w:t>
      </w:r>
      <w:r w:rsidR="00783DF8" w:rsidRPr="00B941BB">
        <w:rPr>
          <w:rFonts w:cs="Arial"/>
        </w:rPr>
        <w:t>sub-components</w:t>
      </w:r>
      <w:r w:rsidR="004870DE" w:rsidRPr="00B941BB">
        <w:rPr>
          <w:rFonts w:cs="Arial"/>
        </w:rPr>
        <w:t>/components</w:t>
      </w:r>
      <w:r w:rsidR="00783DF8" w:rsidRPr="00B941BB">
        <w:rPr>
          <w:rFonts w:cs="Arial"/>
        </w:rPr>
        <w:t xml:space="preserve"> </w:t>
      </w:r>
      <w:r w:rsidR="004870DE" w:rsidRPr="00B941BB">
        <w:rPr>
          <w:rFonts w:cs="Arial"/>
        </w:rPr>
        <w:t xml:space="preserve">of the Grading Standards </w:t>
      </w:r>
      <w:r w:rsidR="009D6897" w:rsidRPr="00B941BB">
        <w:rPr>
          <w:rFonts w:cs="Arial"/>
        </w:rPr>
        <w:t>apply to each of these</w:t>
      </w:r>
    </w:p>
    <w:p w14:paraId="3F08A94C" w14:textId="4ACA9D44" w:rsidR="00783DF8" w:rsidRDefault="00E74F7B" w:rsidP="003D4D62">
      <w:pPr>
        <w:pStyle w:val="Heading3"/>
        <w:rPr>
          <w:rFonts w:eastAsia="Times New Roman"/>
          <w:lang w:eastAsia="en-GB"/>
        </w:rPr>
      </w:pPr>
      <w:r w:rsidRPr="00BE5BAE">
        <w:rPr>
          <w:rFonts w:eastAsia="Times New Roman"/>
          <w:lang w:eastAsia="en-GB"/>
        </w:rPr>
        <w:t>At the Diploma level</w:t>
      </w:r>
      <w:r>
        <w:rPr>
          <w:rFonts w:eastAsia="Times New Roman"/>
          <w:lang w:eastAsia="en-GB"/>
        </w:rPr>
        <w:t xml:space="preserve"> </w:t>
      </w:r>
    </w:p>
    <w:p w14:paraId="660C6B69" w14:textId="3F574A75" w:rsidR="00E74F7B" w:rsidRPr="00B941BB" w:rsidRDefault="00783DF8" w:rsidP="00B941BB">
      <w:r w:rsidRPr="00B941BB">
        <w:t>A</w:t>
      </w:r>
      <w:r w:rsidR="00EB534B" w:rsidRPr="00B941BB">
        <w:t>s each unit is added</w:t>
      </w:r>
      <w:r w:rsidR="004326CD">
        <w:t>,</w:t>
      </w:r>
      <w:r w:rsidR="00EB534B" w:rsidRPr="00B941BB">
        <w:t xml:space="preserve"> this provides a</w:t>
      </w:r>
      <w:r w:rsidR="007B5E1C" w:rsidRPr="00B941BB">
        <w:t>n overview</w:t>
      </w:r>
      <w:r w:rsidR="00EB534B" w:rsidRPr="00B941BB">
        <w:t xml:space="preserve"> of the </w:t>
      </w:r>
      <w:r w:rsidR="00562B32" w:rsidRPr="00B941BB">
        <w:t xml:space="preserve">totality of </w:t>
      </w:r>
      <w:r w:rsidR="009E1A25" w:rsidRPr="00B941BB">
        <w:t>assessment across the Diploma</w:t>
      </w:r>
      <w:r w:rsidR="008F343C" w:rsidRPr="00B941BB">
        <w:t xml:space="preserve">. </w:t>
      </w:r>
      <w:r w:rsidR="00AE1C82" w:rsidRPr="00B941BB">
        <w:t>This information</w:t>
      </w:r>
      <w:r w:rsidR="004326CD">
        <w:t>,</w:t>
      </w:r>
      <w:r w:rsidR="00AE1C82" w:rsidRPr="00B941BB">
        <w:t xml:space="preserve"> along with t</w:t>
      </w:r>
      <w:r w:rsidR="00E152EC" w:rsidRPr="00B941BB">
        <w:t xml:space="preserve">he </w:t>
      </w:r>
      <w:r w:rsidR="00FE7FB5" w:rsidRPr="00B941BB">
        <w:t xml:space="preserve">inclusion of </w:t>
      </w:r>
      <w:r w:rsidR="00E152EC" w:rsidRPr="00B941BB">
        <w:t xml:space="preserve">dates for </w:t>
      </w:r>
      <w:r w:rsidR="007B5858" w:rsidRPr="00B941BB">
        <w:t xml:space="preserve">setting </w:t>
      </w:r>
      <w:r w:rsidR="00B66544" w:rsidRPr="00B941BB">
        <w:t xml:space="preserve">and submission of </w:t>
      </w:r>
      <w:r w:rsidR="007B5858" w:rsidRPr="00B941BB">
        <w:t>assignment</w:t>
      </w:r>
      <w:r w:rsidR="004870DE" w:rsidRPr="00B941BB">
        <w:t>s,</w:t>
      </w:r>
      <w:r w:rsidR="00B66544" w:rsidRPr="00B941BB">
        <w:t xml:space="preserve"> </w:t>
      </w:r>
      <w:r w:rsidR="00FE7FB5" w:rsidRPr="00B941BB">
        <w:t>moderation and feedback</w:t>
      </w:r>
      <w:r w:rsidR="004326CD">
        <w:t>,</w:t>
      </w:r>
      <w:r w:rsidR="00FE7FB5" w:rsidRPr="00B941BB">
        <w:t xml:space="preserve"> </w:t>
      </w:r>
      <w:r w:rsidR="00B02C0E" w:rsidRPr="00B941BB">
        <w:t>enables</w:t>
      </w:r>
      <w:r w:rsidR="00E60EE6" w:rsidRPr="00B941BB">
        <w:t xml:space="preserve"> course teams, moderators and AVAs to </w:t>
      </w:r>
      <w:r w:rsidR="002B6733" w:rsidRPr="00B941BB">
        <w:t xml:space="preserve">not only </w:t>
      </w:r>
      <w:r w:rsidR="0019647D" w:rsidRPr="00B941BB">
        <w:t xml:space="preserve">check compliance </w:t>
      </w:r>
      <w:r w:rsidR="002B6733" w:rsidRPr="00B941BB">
        <w:t xml:space="preserve">with the Grading Scheme but to review </w:t>
      </w:r>
      <w:r w:rsidR="00707522" w:rsidRPr="00B941BB">
        <w:t>assessment workloads and timings</w:t>
      </w:r>
      <w:r w:rsidR="005D79A7">
        <w:t>,</w:t>
      </w:r>
      <w:r w:rsidR="00DA07AF" w:rsidRPr="00B941BB">
        <w:t xml:space="preserve"> </w:t>
      </w:r>
      <w:r w:rsidR="00AE1C82" w:rsidRPr="00B941BB">
        <w:t xml:space="preserve">and </w:t>
      </w:r>
      <w:r w:rsidR="005F3511" w:rsidRPr="00B941BB">
        <w:t xml:space="preserve">to </w:t>
      </w:r>
      <w:r w:rsidR="0000702E" w:rsidRPr="00B941BB">
        <w:t>see</w:t>
      </w:r>
      <w:r w:rsidR="00DF0C50" w:rsidRPr="00B941BB">
        <w:t xml:space="preserve"> the overall assessment strategy</w:t>
      </w:r>
      <w:r w:rsidR="00EE7CD3" w:rsidRPr="00B941BB">
        <w:t xml:space="preserve"> in practice.</w:t>
      </w:r>
      <w:r w:rsidR="0019647D" w:rsidRPr="00B941BB">
        <w:t xml:space="preserve"> </w:t>
      </w:r>
    </w:p>
    <w:p w14:paraId="49B0541A" w14:textId="6A989289" w:rsidR="003547AC" w:rsidRPr="00F31AE2" w:rsidRDefault="001729BA" w:rsidP="003D4D62">
      <w:pPr>
        <w:pStyle w:val="Heading3"/>
        <w:rPr>
          <w:rFonts w:eastAsia="Times New Roman"/>
          <w:lang w:eastAsia="en-GB"/>
        </w:rPr>
      </w:pPr>
      <w:r w:rsidRPr="00F31AE2">
        <w:rPr>
          <w:rFonts w:eastAsia="Times New Roman"/>
          <w:lang w:eastAsia="en-GB"/>
        </w:rPr>
        <w:t>Mandatory</w:t>
      </w:r>
      <w:r w:rsidR="00A01A17" w:rsidRPr="00F31AE2">
        <w:rPr>
          <w:rFonts w:eastAsia="Times New Roman"/>
          <w:lang w:eastAsia="en-GB"/>
        </w:rPr>
        <w:t xml:space="preserve"> and </w:t>
      </w:r>
      <w:r w:rsidRPr="00F31AE2">
        <w:rPr>
          <w:rFonts w:eastAsia="Times New Roman"/>
          <w:lang w:eastAsia="en-GB"/>
        </w:rPr>
        <w:t xml:space="preserve">optional </w:t>
      </w:r>
      <w:r w:rsidR="00A01A17" w:rsidRPr="00F31AE2">
        <w:rPr>
          <w:rFonts w:eastAsia="Times New Roman"/>
          <w:lang w:eastAsia="en-GB"/>
        </w:rPr>
        <w:t>units</w:t>
      </w:r>
    </w:p>
    <w:p w14:paraId="43DC7AFD" w14:textId="65D53EC1" w:rsidR="00D94432" w:rsidRDefault="001B69AA" w:rsidP="003D4D62">
      <w:pPr>
        <w:rPr>
          <w:rFonts w:eastAsia="Times New Roman" w:cs="Arial"/>
          <w:b/>
          <w:bCs/>
          <w:color w:val="000000"/>
          <w:lang w:eastAsia="en-GB"/>
        </w:rPr>
      </w:pPr>
      <w:r w:rsidRPr="00B941BB">
        <w:t>Whil</w:t>
      </w:r>
      <w:r w:rsidR="005D79A7">
        <w:t>e</w:t>
      </w:r>
      <w:r w:rsidRPr="00B941BB">
        <w:t xml:space="preserve"> not shown on this working example, it is easy to see how </w:t>
      </w:r>
      <w:r w:rsidR="00110DA3" w:rsidRPr="00B941BB">
        <w:t xml:space="preserve">mandatory and optional units </w:t>
      </w:r>
      <w:r w:rsidRPr="00B941BB">
        <w:t xml:space="preserve">could be represented </w:t>
      </w:r>
      <w:r w:rsidR="00110DA3" w:rsidRPr="00B941BB">
        <w:t>in such a plan</w:t>
      </w:r>
      <w:r w:rsidR="005D79A7">
        <w:t xml:space="preserve"> -</w:t>
      </w:r>
      <w:r w:rsidR="00110DA3" w:rsidRPr="00B941BB">
        <w:t xml:space="preserve"> for example</w:t>
      </w:r>
      <w:r w:rsidR="005D79A7">
        <w:t>,</w:t>
      </w:r>
      <w:r w:rsidR="00110DA3" w:rsidRPr="00B941BB">
        <w:t xml:space="preserve"> </w:t>
      </w:r>
      <w:r w:rsidRPr="00B941BB">
        <w:t>with</w:t>
      </w:r>
      <w:r w:rsidR="003A22C0" w:rsidRPr="00B941BB">
        <w:t xml:space="preserve"> a section for each type of unit or through colour coding</w:t>
      </w:r>
      <w:r w:rsidR="00F31AE2" w:rsidRPr="00B941BB">
        <w:t xml:space="preserve"> if </w:t>
      </w:r>
      <w:r w:rsidR="00110DA3" w:rsidRPr="00B941BB">
        <w:t xml:space="preserve">the preference is to </w:t>
      </w:r>
      <w:r w:rsidR="00F31AE2" w:rsidRPr="00B941BB">
        <w:t>list</w:t>
      </w:r>
      <w:r w:rsidR="00110DA3" w:rsidRPr="00B941BB">
        <w:t xml:space="preserve"> units</w:t>
      </w:r>
      <w:r w:rsidR="00F31AE2" w:rsidRPr="00B941BB">
        <w:t xml:space="preserve"> in chronological order of delivery.</w:t>
      </w:r>
    </w:p>
    <w:p w14:paraId="6E48AEF2" w14:textId="0FDE5D02" w:rsidR="001C3C7B" w:rsidRDefault="001C3C7B" w:rsidP="00E03D3B">
      <w:pPr>
        <w:spacing w:after="0"/>
        <w:rPr>
          <w:rFonts w:eastAsia="Times New Roman" w:cs="Arial"/>
          <w:b/>
          <w:bCs/>
          <w:color w:val="000000"/>
          <w:lang w:eastAsia="en-GB"/>
        </w:rPr>
        <w:sectPr w:rsidR="001C3C7B" w:rsidSect="0040162E">
          <w:pgSz w:w="11906" w:h="16838"/>
          <w:pgMar w:top="1440" w:right="1440" w:bottom="1077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040A13" w14:paraId="072D33B3" w14:textId="77777777" w:rsidTr="000100FD">
        <w:tc>
          <w:tcPr>
            <w:tcW w:w="6974" w:type="dxa"/>
            <w:vAlign w:val="center"/>
          </w:tcPr>
          <w:p w14:paraId="7ABDEB91" w14:textId="534DF01C" w:rsidR="00040A13" w:rsidRDefault="00040A13" w:rsidP="000100FD">
            <w:pPr>
              <w:pStyle w:val="Heading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100FD">
              <w:rPr>
                <w:rFonts w:eastAsia="Times New Roman"/>
                <w:lang w:eastAsia="en-GB"/>
              </w:rPr>
              <w:lastRenderedPageBreak/>
              <w:t xml:space="preserve">Assessment </w:t>
            </w:r>
            <w:r w:rsidR="0021355D">
              <w:rPr>
                <w:rFonts w:eastAsia="Times New Roman"/>
                <w:lang w:eastAsia="en-GB"/>
              </w:rPr>
              <w:t>P</w:t>
            </w:r>
            <w:r w:rsidRPr="000100FD">
              <w:rPr>
                <w:rFonts w:eastAsia="Times New Roman"/>
                <w:lang w:eastAsia="en-GB"/>
              </w:rPr>
              <w:t xml:space="preserve">lan </w:t>
            </w:r>
            <w:r w:rsidR="0021355D">
              <w:rPr>
                <w:rFonts w:eastAsia="Times New Roman"/>
                <w:lang w:eastAsia="en-GB"/>
              </w:rPr>
              <w:t>T</w:t>
            </w:r>
            <w:r w:rsidRPr="000100FD">
              <w:rPr>
                <w:rFonts w:eastAsia="Times New Roman"/>
                <w:lang w:eastAsia="en-GB"/>
              </w:rPr>
              <w:t>emplate</w:t>
            </w:r>
          </w:p>
        </w:tc>
        <w:tc>
          <w:tcPr>
            <w:tcW w:w="6974" w:type="dxa"/>
          </w:tcPr>
          <w:p w14:paraId="63030D97" w14:textId="7797A5B3" w:rsidR="00040A13" w:rsidRDefault="00040A13" w:rsidP="00040A13">
            <w:pPr>
              <w:pStyle w:val="Heading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BCB83F" wp14:editId="39999D63">
                  <wp:extent cx="786286" cy="786286"/>
                  <wp:effectExtent l="0" t="0" r="0" b="0"/>
                  <wp:docPr id="1360910603" name="Picture 4" descr="A blu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910603" name="Picture 4" descr="A blue circle with white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86" cy="78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979"/>
        <w:gridCol w:w="2801"/>
        <w:gridCol w:w="2304"/>
        <w:gridCol w:w="736"/>
        <w:gridCol w:w="717"/>
        <w:gridCol w:w="705"/>
        <w:gridCol w:w="1282"/>
        <w:gridCol w:w="939"/>
        <w:gridCol w:w="1275"/>
        <w:gridCol w:w="949"/>
      </w:tblGrid>
      <w:tr w:rsidR="00E03D3B" w:rsidRPr="00E03D3B" w14:paraId="3774F52D" w14:textId="77777777" w:rsidTr="00E03D3B">
        <w:trPr>
          <w:trHeight w:val="51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45F8C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Unit</w:t>
            </w:r>
          </w:p>
          <w:p w14:paraId="57D24544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81F84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Credit value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DCE51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Grading Standards components/sub-components selection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0B837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Assignment Title and number (if multi-assessment per unit)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7F810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Set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44EBD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Sub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D62BC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IM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17101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Feedback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921BB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Resub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FF220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Assessor initials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8A4BE" w14:textId="77777777" w:rsidR="00E03D3B" w:rsidRPr="000100FD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100FD">
              <w:rPr>
                <w:rFonts w:eastAsia="Times New Roman" w:cs="Arial"/>
                <w:b/>
                <w:bCs/>
                <w:color w:val="000000"/>
                <w:lang w:eastAsia="en-GB"/>
              </w:rPr>
              <w:t>IM initials</w:t>
            </w:r>
          </w:p>
        </w:tc>
      </w:tr>
      <w:tr w:rsidR="00E03D3B" w:rsidRPr="00E03D3B" w14:paraId="13E6B939" w14:textId="77777777" w:rsidTr="00E03D3B">
        <w:trPr>
          <w:trHeight w:val="26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E8542" w14:textId="77777777" w:rsidR="00E03D3B" w:rsidRPr="000F188B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Example Unit 1</w:t>
            </w:r>
          </w:p>
          <w:p w14:paraId="057AFA84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9E93CA5" w14:textId="77777777" w:rsidR="00E03D3B" w:rsidRPr="000F188B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5 Learning outcomes</w:t>
            </w:r>
          </w:p>
          <w:p w14:paraId="63C8639A" w14:textId="77777777" w:rsidR="00E03D3B" w:rsidRPr="00E03D3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1E6BC" w14:textId="77777777" w:rsidR="00E03D3B" w:rsidRPr="00E03D3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03D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731D8153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i/>
                <w:iCs/>
                <w:color w:val="000000"/>
                <w:lang w:eastAsia="en-GB"/>
              </w:rPr>
              <w:t>6 credits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754D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Example</w:t>
            </w:r>
          </w:p>
          <w:p w14:paraId="247EE0E0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85B543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1 - </w:t>
            </w:r>
          </w:p>
          <w:p w14:paraId="4E87948B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breadth</w:t>
            </w:r>
          </w:p>
          <w:p w14:paraId="425A8418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 </w:t>
            </w:r>
          </w:p>
          <w:p w14:paraId="258A6044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facts; methods; principles</w:t>
            </w:r>
          </w:p>
          <w:p w14:paraId="489BD87C" w14:textId="77777777" w:rsidR="00E03D3B" w:rsidRPr="000F188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CCE75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2 - </w:t>
            </w:r>
          </w:p>
          <w:p w14:paraId="58D3A35C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</w:t>
            </w:r>
          </w:p>
          <w:p w14:paraId="4A2EE773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</w:t>
            </w:r>
          </w:p>
          <w:p w14:paraId="0471F741" w14:textId="5D25348E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accuracy; innovation; insight</w:t>
            </w:r>
          </w:p>
          <w:p w14:paraId="23272F3D" w14:textId="77777777" w:rsidR="00E03D3B" w:rsidRPr="000F188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14BFA9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Grading standard 3 - </w:t>
            </w:r>
            <w:r w:rsidRPr="000F188B">
              <w:rPr>
                <w:rFonts w:eastAsia="Times New Roman" w:cs="Arial"/>
                <w:i/>
                <w:iCs/>
                <w:lang w:eastAsia="en-GB"/>
              </w:rPr>
              <w:t>components a, b, c</w:t>
            </w:r>
          </w:p>
          <w:p w14:paraId="4AD9855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5DD3892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0F188B">
              <w:rPr>
                <w:rFonts w:eastAsia="Times New Roman" w:cs="Arial"/>
                <w:i/>
                <w:iCs/>
                <w:lang w:val="fr-FR" w:eastAsia="en-GB"/>
              </w:rPr>
              <w:t>component a: communication: format; metrics, </w:t>
            </w:r>
          </w:p>
          <w:p w14:paraId="62CFE3F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 xml:space="preserve">component b: plan, organise and complete work; manage time; </w:t>
            </w:r>
            <w:r w:rsidRPr="000F188B">
              <w:rPr>
                <w:rFonts w:eastAsia="Times New Roman" w:cs="Arial"/>
                <w:i/>
                <w:iCs/>
                <w:lang w:eastAsia="en-GB"/>
              </w:rPr>
              <w:lastRenderedPageBreak/>
              <w:t>conduct independent research</w:t>
            </w:r>
          </w:p>
          <w:p w14:paraId="5C69A45E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c</w:t>
            </w:r>
          </w:p>
          <w:p w14:paraId="5BD38CFA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44310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lastRenderedPageBreak/>
              <w:t>Example</w:t>
            </w:r>
          </w:p>
          <w:p w14:paraId="331D9A6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1B90FE0" w14:textId="78165D4F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u w:val="single"/>
                <w:lang w:eastAsia="en-GB"/>
              </w:rPr>
              <w:t xml:space="preserve">Asst 1: </w:t>
            </w:r>
            <w:r w:rsidR="00320FB2">
              <w:rPr>
                <w:rFonts w:eastAsia="Times New Roman" w:cs="Arial"/>
                <w:b/>
                <w:bCs/>
                <w:i/>
                <w:iCs/>
                <w:u w:val="single"/>
                <w:lang w:eastAsia="en-GB"/>
              </w:rPr>
              <w:t xml:space="preserve">Open Book </w:t>
            </w:r>
            <w:r w:rsidRPr="000F188B">
              <w:rPr>
                <w:rFonts w:eastAsia="Times New Roman" w:cs="Arial"/>
                <w:b/>
                <w:bCs/>
                <w:i/>
                <w:iCs/>
                <w:u w:val="single"/>
                <w:lang w:eastAsia="en-GB"/>
              </w:rPr>
              <w:t>Exam</w:t>
            </w:r>
            <w:r w:rsidRPr="000F188B">
              <w:rPr>
                <w:rFonts w:eastAsia="Times New Roman" w:cs="Arial"/>
                <w:i/>
                <w:iCs/>
                <w:u w:val="single"/>
                <w:lang w:eastAsia="en-GB"/>
              </w:rPr>
              <w:t xml:space="preserve"> - Learning outcomes 1; 2 of 5</w:t>
            </w:r>
          </w:p>
          <w:p w14:paraId="03A2CF88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8004F01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1 - </w:t>
            </w:r>
          </w:p>
          <w:p w14:paraId="5EE38E7C" w14:textId="39B40DE3" w:rsidR="00E03D3B" w:rsidRPr="000F188B" w:rsidRDefault="00DD5F63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lang w:eastAsia="en-GB"/>
              </w:rPr>
              <w:t>c</w:t>
            </w:r>
            <w:r w:rsidR="00E03D3B" w:rsidRPr="000F188B">
              <w:rPr>
                <w:rFonts w:eastAsia="Times New Roman" w:cs="Arial"/>
                <w:i/>
                <w:iCs/>
                <w:lang w:eastAsia="en-GB"/>
              </w:rPr>
              <w:t>omponent a: breadth</w:t>
            </w:r>
          </w:p>
          <w:p w14:paraId="5ADE22EE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 </w:t>
            </w:r>
          </w:p>
          <w:p w14:paraId="16EEF648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facts, principles</w:t>
            </w:r>
          </w:p>
          <w:p w14:paraId="686AD842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F74D5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2 - </w:t>
            </w:r>
          </w:p>
          <w:p w14:paraId="5B5EFBFD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</w:t>
            </w:r>
          </w:p>
          <w:p w14:paraId="65F5FCA3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</w:t>
            </w:r>
          </w:p>
          <w:p w14:paraId="28E9F05A" w14:textId="6B83A10A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accuracy; insight</w:t>
            </w:r>
          </w:p>
          <w:p w14:paraId="31B67F31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3A541E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3 -</w:t>
            </w:r>
            <w:r w:rsidRPr="000F188B">
              <w:rPr>
                <w:rFonts w:eastAsia="Times New Roman" w:cs="Arial"/>
                <w:i/>
                <w:iCs/>
                <w:lang w:eastAsia="en-GB"/>
              </w:rPr>
              <w:t xml:space="preserve"> components a, b, c</w:t>
            </w:r>
          </w:p>
          <w:p w14:paraId="75B9CA2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8D306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communication: format; </w:t>
            </w:r>
          </w:p>
          <w:p w14:paraId="0A86D18A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lastRenderedPageBreak/>
              <w:t>component b: plan, organise and complete work; manage time; </w:t>
            </w:r>
          </w:p>
          <w:p w14:paraId="712140D2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c</w:t>
            </w:r>
          </w:p>
          <w:p w14:paraId="23C0A024" w14:textId="77777777" w:rsidR="00E03D3B" w:rsidRPr="000F188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0F18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0F18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0F18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C55A1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DBF14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847F2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CD50D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607CD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6002A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12A0A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3D3B" w:rsidRPr="00E03D3B" w14:paraId="35E81FD5" w14:textId="77777777" w:rsidTr="00E03D3B">
        <w:trPr>
          <w:trHeight w:val="26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6F4A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2A79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82D76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4E8F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u w:val="single"/>
                <w:lang w:eastAsia="en-GB"/>
              </w:rPr>
              <w:t xml:space="preserve">Asst 2: Essay - </w:t>
            </w:r>
            <w:r w:rsidRPr="000F188B">
              <w:rPr>
                <w:rFonts w:eastAsia="Times New Roman" w:cs="Arial"/>
                <w:i/>
                <w:iCs/>
                <w:u w:val="single"/>
                <w:lang w:eastAsia="en-GB"/>
              </w:rPr>
              <w:t>Learning outcomes 3; 4; 5 of 5</w:t>
            </w:r>
          </w:p>
          <w:p w14:paraId="4FDA81E1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CB5847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1 - </w:t>
            </w:r>
          </w:p>
          <w:p w14:paraId="2AA74FAD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breadth</w:t>
            </w:r>
          </w:p>
          <w:p w14:paraId="6FA86B2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 </w:t>
            </w:r>
          </w:p>
          <w:p w14:paraId="2B237FB3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facts; methods; principles</w:t>
            </w:r>
          </w:p>
          <w:p w14:paraId="0BE6C94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C454B4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2 - </w:t>
            </w:r>
          </w:p>
          <w:p w14:paraId="19F241CE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</w:t>
            </w:r>
          </w:p>
          <w:p w14:paraId="7DD3291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</w:t>
            </w:r>
          </w:p>
          <w:p w14:paraId="28DC4C78" w14:textId="27C534A5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accuracy; innovation; insight</w:t>
            </w:r>
          </w:p>
          <w:p w14:paraId="266E6DD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788733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lastRenderedPageBreak/>
              <w:t xml:space="preserve">Grading standard 3 - </w:t>
            </w:r>
            <w:r w:rsidRPr="000F188B">
              <w:rPr>
                <w:rFonts w:eastAsia="Times New Roman" w:cs="Arial"/>
                <w:i/>
                <w:iCs/>
                <w:lang w:eastAsia="en-GB"/>
              </w:rPr>
              <w:t>components a, b, c</w:t>
            </w:r>
          </w:p>
          <w:p w14:paraId="2BE7B54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22211C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format; metrics</w:t>
            </w:r>
          </w:p>
          <w:p w14:paraId="7F5D117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 plan, organise and complete work; conduct independent research</w:t>
            </w:r>
          </w:p>
          <w:p w14:paraId="30745B2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c</w:t>
            </w:r>
          </w:p>
          <w:p w14:paraId="7AD994F2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0772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59E2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1927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0D624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40F59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B54E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4170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3D3B" w:rsidRPr="00E03D3B" w14:paraId="7D28E1B5" w14:textId="77777777" w:rsidTr="00E03D3B">
        <w:trPr>
          <w:trHeight w:val="1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A066C" w14:textId="77777777" w:rsidR="00E03D3B" w:rsidRPr="00E03D3B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i/>
                <w:iCs/>
                <w:color w:val="000000"/>
                <w:lang w:eastAsia="en-GB"/>
              </w:rPr>
              <w:t>Example Unit 2</w:t>
            </w:r>
          </w:p>
          <w:p w14:paraId="7275211E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2846B78" w14:textId="77777777" w:rsidR="00E03D3B" w:rsidRPr="00E03D3B" w:rsidRDefault="00E03D3B" w:rsidP="00E03D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i/>
                <w:iCs/>
                <w:color w:val="000000"/>
                <w:lang w:eastAsia="en-GB"/>
              </w:rPr>
              <w:t>4 Learning outcomes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B9FE6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23B6F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73ED4FC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1 - </w:t>
            </w:r>
          </w:p>
          <w:p w14:paraId="507DA23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depth</w:t>
            </w:r>
          </w:p>
          <w:p w14:paraId="7EC4C33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 </w:t>
            </w:r>
          </w:p>
          <w:p w14:paraId="5D81E766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i/>
                <w:iCs/>
                <w:color w:val="000000"/>
                <w:lang w:eastAsia="en-GB"/>
              </w:rPr>
              <w:t>facts; procedures; perspectives</w:t>
            </w:r>
          </w:p>
          <w:p w14:paraId="5B972CC3" w14:textId="77777777" w:rsidR="00E03D3B" w:rsidRPr="00E03D3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9D2695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b/>
                <w:bCs/>
                <w:i/>
                <w:iCs/>
                <w:color w:val="000000"/>
                <w:lang w:eastAsia="en-GB"/>
              </w:rPr>
              <w:t>Grading standard 2 - </w:t>
            </w:r>
          </w:p>
          <w:p w14:paraId="14DDF1A1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i/>
                <w:iCs/>
                <w:color w:val="000000"/>
                <w:lang w:eastAsia="en-GB"/>
              </w:rPr>
              <w:t>component a</w:t>
            </w:r>
          </w:p>
          <w:p w14:paraId="218B7C9D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i/>
                <w:iCs/>
                <w:color w:val="000000"/>
                <w:lang w:eastAsia="en-GB"/>
              </w:rPr>
              <w:t>component b:</w:t>
            </w:r>
          </w:p>
          <w:p w14:paraId="7F3865AD" w14:textId="18D0057A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3D3B">
              <w:rPr>
                <w:rFonts w:eastAsia="Times New Roman" w:cs="Arial"/>
                <w:i/>
                <w:iCs/>
                <w:color w:val="000000"/>
                <w:lang w:eastAsia="en-GB"/>
              </w:rPr>
              <w:t>accuracy; insight; interpretation</w:t>
            </w:r>
          </w:p>
          <w:p w14:paraId="31A1AB77" w14:textId="77777777" w:rsidR="00E03D3B" w:rsidRPr="000F188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23BB36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Grading standard 3 - </w:t>
            </w:r>
            <w:r w:rsidRPr="000F188B">
              <w:rPr>
                <w:rFonts w:eastAsia="Times New Roman" w:cs="Arial"/>
                <w:i/>
                <w:iCs/>
                <w:lang w:eastAsia="en-GB"/>
              </w:rPr>
              <w:t>components a, c</w:t>
            </w:r>
          </w:p>
          <w:p w14:paraId="675E0840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6F61EF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lastRenderedPageBreak/>
              <w:t>component a: presentation or communication: </w:t>
            </w:r>
          </w:p>
          <w:p w14:paraId="550CC9C4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structure; format; imagery; paralanguage</w:t>
            </w:r>
          </w:p>
          <w:p w14:paraId="66A54A07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5E8F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u w:val="single"/>
                <w:lang w:eastAsia="en-GB"/>
              </w:rPr>
              <w:lastRenderedPageBreak/>
              <w:t>Asst 1: Presentation Learning outcomes 1; 2 of 4</w:t>
            </w:r>
          </w:p>
          <w:p w14:paraId="59979104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6A32A5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1 - </w:t>
            </w:r>
          </w:p>
          <w:p w14:paraId="5C9BDD9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depth</w:t>
            </w:r>
          </w:p>
          <w:p w14:paraId="6290B41C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 </w:t>
            </w:r>
          </w:p>
          <w:p w14:paraId="645A703C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facts; procedures</w:t>
            </w:r>
          </w:p>
          <w:p w14:paraId="7C90945F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98F3E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2 - </w:t>
            </w:r>
          </w:p>
          <w:p w14:paraId="73D1B444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</w:t>
            </w:r>
          </w:p>
          <w:p w14:paraId="4EFD7C41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</w:t>
            </w:r>
          </w:p>
          <w:p w14:paraId="6D94A4A6" w14:textId="3550BC2E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accuracy; insight</w:t>
            </w:r>
          </w:p>
          <w:p w14:paraId="7A7D68BD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828255A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Grading standard 3 - </w:t>
            </w:r>
            <w:r w:rsidRPr="000F188B">
              <w:rPr>
                <w:rFonts w:eastAsia="Times New Roman" w:cs="Arial"/>
                <w:i/>
                <w:iCs/>
                <w:lang w:eastAsia="en-GB"/>
              </w:rPr>
              <w:t>components a, c</w:t>
            </w:r>
          </w:p>
          <w:p w14:paraId="772DCFEC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38E95F5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presentation: </w:t>
            </w:r>
          </w:p>
          <w:p w14:paraId="001BB05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imagery; paralanguage</w:t>
            </w:r>
          </w:p>
          <w:p w14:paraId="4148FFBA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c</w:t>
            </w:r>
          </w:p>
          <w:p w14:paraId="288761A8" w14:textId="77777777" w:rsidR="00E03D3B" w:rsidRPr="000F188B" w:rsidRDefault="00E03D3B" w:rsidP="00E03D3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CBA3F2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u w:val="single"/>
                <w:lang w:eastAsia="en-GB"/>
              </w:rPr>
              <w:t>Asst 2: Essay Learning outcomes 3; 4 of 4</w:t>
            </w:r>
          </w:p>
          <w:p w14:paraId="40157BD5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33C6AEE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1 - </w:t>
            </w:r>
          </w:p>
          <w:p w14:paraId="0FDEEA0E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depth</w:t>
            </w:r>
          </w:p>
          <w:p w14:paraId="75C5DA6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 </w:t>
            </w:r>
          </w:p>
          <w:p w14:paraId="4258678D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facts; procedures; perspectives</w:t>
            </w:r>
          </w:p>
          <w:p w14:paraId="548966A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344473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>Grading standard 2 - </w:t>
            </w:r>
          </w:p>
          <w:p w14:paraId="0E32CE91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</w:t>
            </w:r>
          </w:p>
          <w:p w14:paraId="4E2B3B8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b:</w:t>
            </w:r>
          </w:p>
          <w:p w14:paraId="6B97CCB6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insight; interpretation</w:t>
            </w:r>
          </w:p>
          <w:p w14:paraId="39954912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210132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b/>
                <w:bCs/>
                <w:i/>
                <w:iCs/>
                <w:lang w:eastAsia="en-GB"/>
              </w:rPr>
              <w:t xml:space="preserve">Grading standard 3 - </w:t>
            </w:r>
            <w:r w:rsidRPr="000F188B">
              <w:rPr>
                <w:rFonts w:eastAsia="Times New Roman" w:cs="Arial"/>
                <w:i/>
                <w:iCs/>
                <w:lang w:eastAsia="en-GB"/>
              </w:rPr>
              <w:t>components a, c</w:t>
            </w:r>
          </w:p>
          <w:p w14:paraId="2037A3D9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19576A7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component a: communication: </w:t>
            </w:r>
          </w:p>
          <w:p w14:paraId="2DF5AEB3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t>structure; format</w:t>
            </w:r>
          </w:p>
          <w:p w14:paraId="453BCE30" w14:textId="77777777" w:rsidR="00E03D3B" w:rsidRPr="000F188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188B">
              <w:rPr>
                <w:rFonts w:eastAsia="Times New Roman" w:cs="Arial"/>
                <w:i/>
                <w:iCs/>
                <w:lang w:eastAsia="en-GB"/>
              </w:rPr>
              <w:lastRenderedPageBreak/>
              <w:t>component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1D404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F695C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9A1F9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7A619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BE259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7654C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5DCEB" w14:textId="77777777" w:rsidR="00E03D3B" w:rsidRPr="00E03D3B" w:rsidRDefault="00E03D3B" w:rsidP="00E0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4AC6564" w14:textId="77777777" w:rsidR="0024008B" w:rsidRDefault="002400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948"/>
      </w:tblGrid>
      <w:tr w:rsidR="0021355D" w14:paraId="3221F22F" w14:textId="77777777" w:rsidTr="0059118F">
        <w:tc>
          <w:tcPr>
            <w:tcW w:w="13948" w:type="dxa"/>
            <w:shd w:val="clear" w:color="auto" w:fill="F2F2F2" w:themeFill="background1" w:themeFillShade="F2"/>
          </w:tcPr>
          <w:p w14:paraId="4D223C0F" w14:textId="77777777" w:rsidR="0021355D" w:rsidRPr="0059118F" w:rsidDel="008019E4" w:rsidRDefault="0021355D" w:rsidP="0059118F">
            <w:pPr>
              <w:spacing w:before="120"/>
              <w:rPr>
                <w:b/>
                <w:bCs/>
              </w:rPr>
            </w:pPr>
            <w:r w:rsidRPr="0059118F" w:rsidDel="008019E4">
              <w:rPr>
                <w:b/>
                <w:bCs/>
              </w:rPr>
              <w:t>Acknowledgements</w:t>
            </w:r>
          </w:p>
          <w:p w14:paraId="14DB0A2C" w14:textId="5F1453DB" w:rsidR="0021355D" w:rsidRDefault="0021355D" w:rsidP="0021355D">
            <w:r w:rsidRPr="00424BE8" w:rsidDel="008019E4">
              <w:t>QAA wishes to thank The Cambridge Access Validating Agency (CAVA) for permitting the adaptation and sharing of their internal assessment plan template.</w:t>
            </w:r>
          </w:p>
        </w:tc>
      </w:tr>
    </w:tbl>
    <w:p w14:paraId="5EC6D6E3" w14:textId="77777777" w:rsidR="0021355D" w:rsidRDefault="0021355D"/>
    <w:sectPr w:rsidR="0021355D" w:rsidSect="00863C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8CA6" w14:textId="77777777" w:rsidR="00987CCF" w:rsidRDefault="00987CCF" w:rsidP="00987CCF">
      <w:pPr>
        <w:spacing w:after="0"/>
      </w:pPr>
      <w:r>
        <w:separator/>
      </w:r>
    </w:p>
  </w:endnote>
  <w:endnote w:type="continuationSeparator" w:id="0">
    <w:p w14:paraId="25C73E03" w14:textId="77777777" w:rsidR="00987CCF" w:rsidRDefault="00987CCF" w:rsidP="00987C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0B77" w14:textId="77777777" w:rsidR="00987CCF" w:rsidRDefault="00987CCF" w:rsidP="00987CCF">
      <w:pPr>
        <w:spacing w:after="0"/>
      </w:pPr>
      <w:r>
        <w:separator/>
      </w:r>
    </w:p>
  </w:footnote>
  <w:footnote w:type="continuationSeparator" w:id="0">
    <w:p w14:paraId="73CC4709" w14:textId="77777777" w:rsidR="00987CCF" w:rsidRDefault="00987CCF" w:rsidP="00987C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7D2"/>
    <w:multiLevelType w:val="hybridMultilevel"/>
    <w:tmpl w:val="B84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21F2"/>
    <w:multiLevelType w:val="hybridMultilevel"/>
    <w:tmpl w:val="FB3C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1E5C"/>
    <w:multiLevelType w:val="hybridMultilevel"/>
    <w:tmpl w:val="6368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58B0"/>
    <w:multiLevelType w:val="hybridMultilevel"/>
    <w:tmpl w:val="267CAA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9712">
    <w:abstractNumId w:val="3"/>
  </w:num>
  <w:num w:numId="2" w16cid:durableId="1910728383">
    <w:abstractNumId w:val="0"/>
  </w:num>
  <w:num w:numId="3" w16cid:durableId="1615480307">
    <w:abstractNumId w:val="2"/>
  </w:num>
  <w:num w:numId="4" w16cid:durableId="145971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3B"/>
    <w:rsid w:val="0000702E"/>
    <w:rsid w:val="000100FD"/>
    <w:rsid w:val="00040A13"/>
    <w:rsid w:val="0005544C"/>
    <w:rsid w:val="00056B2C"/>
    <w:rsid w:val="000771FB"/>
    <w:rsid w:val="000F188B"/>
    <w:rsid w:val="0010267A"/>
    <w:rsid w:val="00110DA3"/>
    <w:rsid w:val="001215E0"/>
    <w:rsid w:val="00144030"/>
    <w:rsid w:val="00151D0B"/>
    <w:rsid w:val="00161A96"/>
    <w:rsid w:val="001715E2"/>
    <w:rsid w:val="001729BA"/>
    <w:rsid w:val="00192868"/>
    <w:rsid w:val="0019647D"/>
    <w:rsid w:val="001B69AA"/>
    <w:rsid w:val="001C3C7B"/>
    <w:rsid w:val="001D4E52"/>
    <w:rsid w:val="0021355D"/>
    <w:rsid w:val="00215702"/>
    <w:rsid w:val="0022133C"/>
    <w:rsid w:val="00231D49"/>
    <w:rsid w:val="00233AF2"/>
    <w:rsid w:val="0024008B"/>
    <w:rsid w:val="0024170D"/>
    <w:rsid w:val="00281C03"/>
    <w:rsid w:val="002937C4"/>
    <w:rsid w:val="002945BF"/>
    <w:rsid w:val="002A0AF1"/>
    <w:rsid w:val="002A1F9B"/>
    <w:rsid w:val="002B6733"/>
    <w:rsid w:val="002D137D"/>
    <w:rsid w:val="002D2D5F"/>
    <w:rsid w:val="00320FB2"/>
    <w:rsid w:val="00346044"/>
    <w:rsid w:val="00352D1E"/>
    <w:rsid w:val="003547AC"/>
    <w:rsid w:val="00372AC7"/>
    <w:rsid w:val="00377A02"/>
    <w:rsid w:val="003A0D1F"/>
    <w:rsid w:val="003A22C0"/>
    <w:rsid w:val="003A3527"/>
    <w:rsid w:val="003A6634"/>
    <w:rsid w:val="003C0879"/>
    <w:rsid w:val="003D4D62"/>
    <w:rsid w:val="003E7F6C"/>
    <w:rsid w:val="0040162E"/>
    <w:rsid w:val="00410713"/>
    <w:rsid w:val="00424BE8"/>
    <w:rsid w:val="00427E8B"/>
    <w:rsid w:val="004326CD"/>
    <w:rsid w:val="00440DE7"/>
    <w:rsid w:val="004870DE"/>
    <w:rsid w:val="004C59CE"/>
    <w:rsid w:val="004F1EA1"/>
    <w:rsid w:val="00512438"/>
    <w:rsid w:val="00524ED8"/>
    <w:rsid w:val="00542B15"/>
    <w:rsid w:val="00562B32"/>
    <w:rsid w:val="00577202"/>
    <w:rsid w:val="0059118F"/>
    <w:rsid w:val="005C0C09"/>
    <w:rsid w:val="005D1ACA"/>
    <w:rsid w:val="005D79A7"/>
    <w:rsid w:val="005F3511"/>
    <w:rsid w:val="0060548B"/>
    <w:rsid w:val="00694AF8"/>
    <w:rsid w:val="006D3ABA"/>
    <w:rsid w:val="006E06B6"/>
    <w:rsid w:val="006F0E7F"/>
    <w:rsid w:val="006F5965"/>
    <w:rsid w:val="007073AF"/>
    <w:rsid w:val="00707522"/>
    <w:rsid w:val="00710810"/>
    <w:rsid w:val="007120B2"/>
    <w:rsid w:val="00751B59"/>
    <w:rsid w:val="00767003"/>
    <w:rsid w:val="00783DF8"/>
    <w:rsid w:val="00795B77"/>
    <w:rsid w:val="007962CB"/>
    <w:rsid w:val="007A032F"/>
    <w:rsid w:val="007A2F03"/>
    <w:rsid w:val="007B5858"/>
    <w:rsid w:val="007B5E1C"/>
    <w:rsid w:val="007C3E87"/>
    <w:rsid w:val="008019E4"/>
    <w:rsid w:val="008245DF"/>
    <w:rsid w:val="00856981"/>
    <w:rsid w:val="00863CAA"/>
    <w:rsid w:val="00866F6F"/>
    <w:rsid w:val="0087780D"/>
    <w:rsid w:val="00881D31"/>
    <w:rsid w:val="0088290E"/>
    <w:rsid w:val="008877E8"/>
    <w:rsid w:val="008D401E"/>
    <w:rsid w:val="008D604C"/>
    <w:rsid w:val="008E24BB"/>
    <w:rsid w:val="008F0E85"/>
    <w:rsid w:val="008F343C"/>
    <w:rsid w:val="00912FEC"/>
    <w:rsid w:val="009402B2"/>
    <w:rsid w:val="009415FA"/>
    <w:rsid w:val="009442D9"/>
    <w:rsid w:val="00945F14"/>
    <w:rsid w:val="00987CCF"/>
    <w:rsid w:val="009D6897"/>
    <w:rsid w:val="009E1A25"/>
    <w:rsid w:val="009E69F6"/>
    <w:rsid w:val="009E6BBB"/>
    <w:rsid w:val="00A01A17"/>
    <w:rsid w:val="00A271AC"/>
    <w:rsid w:val="00A32CB4"/>
    <w:rsid w:val="00A35174"/>
    <w:rsid w:val="00A75432"/>
    <w:rsid w:val="00AA186A"/>
    <w:rsid w:val="00AA2189"/>
    <w:rsid w:val="00AB1328"/>
    <w:rsid w:val="00AD5646"/>
    <w:rsid w:val="00AD6FBB"/>
    <w:rsid w:val="00AD7941"/>
    <w:rsid w:val="00AE1C82"/>
    <w:rsid w:val="00AE4A73"/>
    <w:rsid w:val="00B02C0E"/>
    <w:rsid w:val="00B0572F"/>
    <w:rsid w:val="00B66544"/>
    <w:rsid w:val="00B941BB"/>
    <w:rsid w:val="00BB5F75"/>
    <w:rsid w:val="00BC362D"/>
    <w:rsid w:val="00BE5BAE"/>
    <w:rsid w:val="00C11993"/>
    <w:rsid w:val="00C165EC"/>
    <w:rsid w:val="00C50A6A"/>
    <w:rsid w:val="00C850B8"/>
    <w:rsid w:val="00C96051"/>
    <w:rsid w:val="00CD41C4"/>
    <w:rsid w:val="00CD5731"/>
    <w:rsid w:val="00CE0604"/>
    <w:rsid w:val="00D216D4"/>
    <w:rsid w:val="00D71FE6"/>
    <w:rsid w:val="00D94432"/>
    <w:rsid w:val="00DA07AF"/>
    <w:rsid w:val="00DA6A8C"/>
    <w:rsid w:val="00DA750C"/>
    <w:rsid w:val="00DA7826"/>
    <w:rsid w:val="00DC5F65"/>
    <w:rsid w:val="00DD2BAE"/>
    <w:rsid w:val="00DD5F63"/>
    <w:rsid w:val="00DE5EB7"/>
    <w:rsid w:val="00DE7B2A"/>
    <w:rsid w:val="00DF0C50"/>
    <w:rsid w:val="00E03D3B"/>
    <w:rsid w:val="00E0553D"/>
    <w:rsid w:val="00E152EC"/>
    <w:rsid w:val="00E26768"/>
    <w:rsid w:val="00E3683E"/>
    <w:rsid w:val="00E60EE6"/>
    <w:rsid w:val="00E73751"/>
    <w:rsid w:val="00E74F7B"/>
    <w:rsid w:val="00E76206"/>
    <w:rsid w:val="00EA6C45"/>
    <w:rsid w:val="00EB534B"/>
    <w:rsid w:val="00ED4450"/>
    <w:rsid w:val="00EE17A0"/>
    <w:rsid w:val="00EE3C47"/>
    <w:rsid w:val="00EE55A5"/>
    <w:rsid w:val="00EE7CD3"/>
    <w:rsid w:val="00F03B28"/>
    <w:rsid w:val="00F07903"/>
    <w:rsid w:val="00F31AE2"/>
    <w:rsid w:val="00F4404C"/>
    <w:rsid w:val="00F54FBF"/>
    <w:rsid w:val="00F935BE"/>
    <w:rsid w:val="00F97EB1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2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53D"/>
    <w:pPr>
      <w:spacing w:after="2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AC7"/>
    <w:pPr>
      <w:keepNext/>
      <w:keepLines/>
      <w:outlineLvl w:val="0"/>
    </w:pPr>
    <w:rPr>
      <w:rFonts w:eastAsiaTheme="majorEastAsia" w:cstheme="majorBidi"/>
      <w:b/>
      <w:color w:val="45005E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45DF"/>
    <w:pPr>
      <w:keepNext/>
      <w:keepLines/>
      <w:outlineLvl w:val="1"/>
    </w:pPr>
    <w:rPr>
      <w:rFonts w:eastAsiaTheme="majorEastAsia" w:cstheme="majorBidi"/>
      <w:b/>
      <w:color w:val="6CA00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D4D62"/>
    <w:pPr>
      <w:keepNext/>
      <w:keepLines/>
      <w:outlineLvl w:val="2"/>
    </w:pPr>
    <w:rPr>
      <w:rFonts w:eastAsiaTheme="majorEastAsia" w:cstheme="majorBidi"/>
      <w:b/>
      <w:color w:val="4A442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3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02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2AC7"/>
    <w:rPr>
      <w:rFonts w:ascii="Arial" w:eastAsiaTheme="majorEastAsia" w:hAnsi="Arial" w:cstheme="majorBidi"/>
      <w:b/>
      <w:color w:val="45005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5DF"/>
    <w:rPr>
      <w:rFonts w:ascii="Arial" w:eastAsiaTheme="majorEastAsia" w:hAnsi="Arial" w:cstheme="majorBidi"/>
      <w:b/>
      <w:color w:val="6CA003"/>
      <w:sz w:val="28"/>
      <w:szCs w:val="26"/>
    </w:rPr>
  </w:style>
  <w:style w:type="table" w:styleId="TableGrid">
    <w:name w:val="Table Grid"/>
    <w:basedOn w:val="TableNormal"/>
    <w:uiPriority w:val="39"/>
    <w:rsid w:val="0004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D4D62"/>
    <w:rPr>
      <w:rFonts w:ascii="Arial" w:eastAsiaTheme="majorEastAsia" w:hAnsi="Arial" w:cstheme="majorBidi"/>
      <w:b/>
      <w:color w:val="4A442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94">
          <w:marLeft w:val="-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1653-27D3-4632-A1A3-228B4348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2024-02-15T15:27:00Z</dcterms:created>
  <dcterms:modified xsi:type="dcterms:W3CDTF">2024-02-16T11:15:00Z</dcterms:modified>
</cp:coreProperties>
</file>